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E1A74">
      <w:pPr>
        <w:jc w:val="center"/>
        <w:outlineLvl w:val="1"/>
        <w:rPr>
          <w:rFonts w:hint="eastAsia" w:ascii="Calibri" w:hAnsi="Calibri" w:eastAsia="宋体" w:cs="Times New Roman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sz w:val="36"/>
          <w:lang w:val="en-US" w:eastAsia="zh-Hans"/>
        </w:rPr>
        <w:t>第七章 拟签订合同文本</w:t>
      </w:r>
    </w:p>
    <w:p w14:paraId="4F956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u w:val="none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</w:rPr>
        <w:t xml:space="preserve">采购人（全称）： </w:t>
      </w:r>
      <w:r>
        <w:rPr>
          <w:rFonts w:hint="eastAsia" w:ascii="仿宋" w:hAnsi="仿宋" w:eastAsia="仿宋" w:cs="仿宋"/>
          <w:b/>
          <w:bCs/>
          <w:color w:val="auto"/>
          <w:sz w:val="24"/>
          <w:u w:val="none"/>
        </w:rPr>
        <w:t xml:space="preserve">                                 </w:t>
      </w:r>
    </w:p>
    <w:p w14:paraId="4B924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 xml:space="preserve">供应商（全称）：         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</w:t>
      </w:r>
    </w:p>
    <w:p w14:paraId="1600E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根据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eastAsia="zh-CN"/>
        </w:rPr>
        <w:t>西乡县新建交通信号灯及电子警察设施建设项目</w:t>
      </w:r>
      <w:r>
        <w:rPr>
          <w:rFonts w:hint="eastAsia" w:ascii="仿宋" w:hAnsi="仿宋" w:eastAsia="仿宋" w:cs="仿宋"/>
          <w:color w:val="auto"/>
          <w:sz w:val="24"/>
          <w:u w:val="none"/>
        </w:rPr>
        <w:t>的采购结果，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按照</w:t>
      </w:r>
      <w:r>
        <w:rPr>
          <w:rFonts w:hint="eastAsia" w:ascii="仿宋" w:hAnsi="仿宋" w:eastAsia="仿宋" w:cs="仿宋"/>
          <w:color w:val="auto"/>
          <w:sz w:val="24"/>
        </w:rPr>
        <w:t>《中华人民共和国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民法典</w:t>
      </w:r>
      <w:r>
        <w:rPr>
          <w:rFonts w:hint="eastAsia" w:ascii="仿宋" w:hAnsi="仿宋" w:eastAsia="仿宋" w:cs="仿宋"/>
          <w:color w:val="auto"/>
          <w:sz w:val="24"/>
        </w:rPr>
        <w:t>》及其他有关法律、法规，遵循平等、自愿、公平和诚信的原则，双方就下述项目范围与相关服务事项协商一致，订立本合同。</w:t>
      </w:r>
    </w:p>
    <w:p w14:paraId="24E94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一、项目概况</w:t>
      </w:r>
    </w:p>
    <w:p w14:paraId="64677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>西乡县新建交通信号灯及电子警察设施建设项目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</w:rPr>
        <w:t>；</w:t>
      </w:r>
    </w:p>
    <w:p w14:paraId="0CD3B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</w:rPr>
        <w:t>项目地点：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陕西省汉中市西乡县</w:t>
      </w:r>
      <w:r>
        <w:rPr>
          <w:rFonts w:hint="eastAsia" w:ascii="仿宋" w:hAnsi="仿宋" w:eastAsia="仿宋" w:cs="仿宋"/>
          <w:color w:val="auto"/>
          <w:sz w:val="24"/>
        </w:rPr>
        <w:t>；</w:t>
      </w:r>
    </w:p>
    <w:p w14:paraId="26A85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二、组成本合同的文件</w:t>
      </w:r>
    </w:p>
    <w:p w14:paraId="624F8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中标</w:t>
      </w:r>
      <w:r>
        <w:rPr>
          <w:rFonts w:hint="eastAsia" w:ascii="仿宋" w:hAnsi="仿宋" w:eastAsia="仿宋" w:cs="仿宋"/>
          <w:color w:val="auto"/>
          <w:sz w:val="24"/>
        </w:rPr>
        <w:t>通知书、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文件、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</w:rPr>
        <w:t>文件、澄清、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答疑</w:t>
      </w:r>
      <w:r>
        <w:rPr>
          <w:rFonts w:hint="eastAsia" w:ascii="仿宋" w:hAnsi="仿宋" w:eastAsia="仿宋" w:cs="仿宋"/>
          <w:color w:val="auto"/>
          <w:sz w:val="24"/>
        </w:rPr>
        <w:t>补充文件；</w:t>
      </w:r>
    </w:p>
    <w:p w14:paraId="25130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</w:rPr>
        <w:t>相关服务建议书；</w:t>
      </w:r>
    </w:p>
    <w:p w14:paraId="2C721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3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</w:rPr>
        <w:t>本合同签订后，双方依法签订的补充协议也是本合同文件的组成部分。</w:t>
      </w:r>
    </w:p>
    <w:p w14:paraId="56566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三、合同</w:t>
      </w:r>
      <w:r>
        <w:rPr>
          <w:rFonts w:hint="eastAsia" w:ascii="仿宋" w:hAnsi="仿宋" w:eastAsia="仿宋" w:cs="仿宋"/>
          <w:b/>
          <w:color w:val="auto"/>
          <w:sz w:val="24"/>
          <w:lang w:eastAsia="zh-CN"/>
        </w:rPr>
        <w:t>总价</w:t>
      </w:r>
    </w:p>
    <w:p w14:paraId="72C48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暂定</w:t>
      </w:r>
      <w:r>
        <w:rPr>
          <w:rFonts w:hint="eastAsia" w:ascii="仿宋" w:hAnsi="仿宋" w:eastAsia="仿宋" w:cs="仿宋"/>
          <w:b/>
          <w:color w:val="auto"/>
          <w:sz w:val="24"/>
        </w:rPr>
        <w:t>合同总价</w:t>
      </w:r>
      <w:r>
        <w:rPr>
          <w:rFonts w:hint="eastAsia" w:ascii="仿宋" w:hAnsi="仿宋" w:eastAsia="仿宋" w:cs="仿宋"/>
          <w:color w:val="auto"/>
          <w:sz w:val="24"/>
        </w:rPr>
        <w:t>（大写）：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</w:rPr>
        <w:t>（¥        ）；</w:t>
      </w:r>
    </w:p>
    <w:p w14:paraId="6BABE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附分项清单：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017"/>
        <w:gridCol w:w="963"/>
        <w:gridCol w:w="1275"/>
        <w:gridCol w:w="1125"/>
        <w:gridCol w:w="1080"/>
        <w:gridCol w:w="1290"/>
        <w:gridCol w:w="1116"/>
      </w:tblGrid>
      <w:tr w14:paraId="6E3B1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894" w:type="dxa"/>
            <w:noWrap w:val="0"/>
            <w:vAlign w:val="center"/>
          </w:tcPr>
          <w:p w14:paraId="6CE61E5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017" w:type="dxa"/>
            <w:noWrap w:val="0"/>
            <w:vAlign w:val="center"/>
          </w:tcPr>
          <w:p w14:paraId="3AFB0DF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名称</w:t>
            </w:r>
          </w:p>
        </w:tc>
        <w:tc>
          <w:tcPr>
            <w:tcW w:w="963" w:type="dxa"/>
            <w:noWrap w:val="0"/>
            <w:vAlign w:val="center"/>
          </w:tcPr>
          <w:p w14:paraId="191AC4E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品牌</w:t>
            </w:r>
          </w:p>
        </w:tc>
        <w:tc>
          <w:tcPr>
            <w:tcW w:w="1275" w:type="dxa"/>
            <w:noWrap w:val="0"/>
            <w:vAlign w:val="center"/>
          </w:tcPr>
          <w:p w14:paraId="62025E5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规格型号</w:t>
            </w:r>
          </w:p>
        </w:tc>
        <w:tc>
          <w:tcPr>
            <w:tcW w:w="1125" w:type="dxa"/>
            <w:noWrap w:val="0"/>
            <w:vAlign w:val="center"/>
          </w:tcPr>
          <w:p w14:paraId="1BC7CA4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数量</w:t>
            </w:r>
          </w:p>
        </w:tc>
        <w:tc>
          <w:tcPr>
            <w:tcW w:w="1080" w:type="dxa"/>
            <w:noWrap w:val="0"/>
            <w:vAlign w:val="center"/>
          </w:tcPr>
          <w:p w14:paraId="10D727D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单位</w:t>
            </w:r>
          </w:p>
        </w:tc>
        <w:tc>
          <w:tcPr>
            <w:tcW w:w="1290" w:type="dxa"/>
            <w:noWrap w:val="0"/>
            <w:vAlign w:val="center"/>
          </w:tcPr>
          <w:p w14:paraId="031D950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单价</w:t>
            </w:r>
          </w:p>
          <w:p w14:paraId="2EC5C18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（元）</w:t>
            </w:r>
          </w:p>
        </w:tc>
        <w:tc>
          <w:tcPr>
            <w:tcW w:w="1116" w:type="dxa"/>
            <w:noWrap w:val="0"/>
            <w:vAlign w:val="center"/>
          </w:tcPr>
          <w:p w14:paraId="14AB411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合计</w:t>
            </w:r>
          </w:p>
          <w:p w14:paraId="68C8EF8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（万元）</w:t>
            </w:r>
          </w:p>
        </w:tc>
      </w:tr>
      <w:tr w14:paraId="4BA58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894" w:type="dxa"/>
            <w:noWrap w:val="0"/>
            <w:vAlign w:val="center"/>
          </w:tcPr>
          <w:p w14:paraId="3464850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C73C41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78C97F7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1203BD3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2D073EC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254168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FB19D2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60AA9A9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6F9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894" w:type="dxa"/>
            <w:noWrap w:val="0"/>
            <w:vAlign w:val="center"/>
          </w:tcPr>
          <w:p w14:paraId="0F9DAAB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1CF565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76F4AE6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97FC6C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0713B3B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67C969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3BA1FD4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01A120B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71AE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894" w:type="dxa"/>
            <w:noWrap w:val="0"/>
            <w:vAlign w:val="center"/>
          </w:tcPr>
          <w:p w14:paraId="2C84B37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694DFE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48A8A01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113E081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45B7DF7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F12C11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E8B909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0314B10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ECDA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8760" w:type="dxa"/>
            <w:gridSpan w:val="8"/>
            <w:noWrap w:val="0"/>
            <w:vAlign w:val="center"/>
          </w:tcPr>
          <w:p w14:paraId="79070ED0"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合计金额：¥          万元；     大写：</w:t>
            </w:r>
          </w:p>
        </w:tc>
      </w:tr>
    </w:tbl>
    <w:p w14:paraId="34C89D8B">
      <w:pPr>
        <w:adjustRightInd w:val="0"/>
        <w:snapToGrid w:val="0"/>
        <w:spacing w:line="560" w:lineRule="exact"/>
        <w:ind w:firstLine="475" w:firstLineChars="198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注：此表应与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</w:rPr>
        <w:t>文件、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投标文件</w:t>
      </w:r>
      <w:r>
        <w:rPr>
          <w:rFonts w:hint="eastAsia" w:ascii="仿宋" w:hAnsi="仿宋" w:eastAsia="仿宋" w:cs="仿宋"/>
          <w:color w:val="auto"/>
          <w:sz w:val="24"/>
        </w:rPr>
        <w:t>内容一致。</w:t>
      </w:r>
    </w:p>
    <w:p w14:paraId="5B42C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2"/>
        </w:rPr>
      </w:pPr>
      <w:r>
        <w:rPr>
          <w:rFonts w:hint="eastAsia" w:ascii="仿宋" w:hAnsi="仿宋" w:eastAsia="仿宋" w:cs="仿宋"/>
          <w:b/>
          <w:color w:val="auto"/>
          <w:sz w:val="24"/>
          <w:szCs w:val="22"/>
        </w:rPr>
        <w:t>四、结算方式：</w:t>
      </w:r>
    </w:p>
    <w:p w14:paraId="49BDA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（1）结算单位：银行转账，由采购人以人民币负责结算。</w:t>
      </w:r>
    </w:p>
    <w:p w14:paraId="74F9F9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（2）付款方式：</w:t>
      </w:r>
    </w:p>
    <w:p w14:paraId="74BCDC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①本合同签订后达到付款条件起10日内，甲方支付乙方合同总价款的30%作为预付款；</w:t>
      </w:r>
    </w:p>
    <w:p w14:paraId="532FB1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②乙方完成货物交付并经甲方初步验收合格后10日内，甲方支付合同总价款的40%；</w:t>
      </w:r>
    </w:p>
    <w:p w14:paraId="17DD0F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③乙方完成系统接入全省集成指挥平台，并通过最终验收合格后10日内，方支付合同总价款的30%。</w:t>
      </w:r>
    </w:p>
    <w:p w14:paraId="4C18F61F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2" w:firstLineChars="200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五、交货地点及交货期</w:t>
      </w:r>
    </w:p>
    <w:p w14:paraId="30787AE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1、交货地点：采购人指定地点</w:t>
      </w:r>
    </w:p>
    <w:p w14:paraId="6A9F9CC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480" w:firstLineChars="200"/>
        <w:textAlignment w:val="auto"/>
        <w:outlineLvl w:val="9"/>
        <w:rPr>
          <w:rFonts w:hint="default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2、交货期：自合同签订之日起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30天内。</w:t>
      </w:r>
    </w:p>
    <w:p w14:paraId="3B57A57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36" w:lineRule="auto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、双方承诺</w:t>
      </w:r>
    </w:p>
    <w:p w14:paraId="291C0E01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供应商向采购人承诺，按照本合同约定提供相关服务。</w:t>
      </w:r>
    </w:p>
    <w:p w14:paraId="2F30383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采购人向供应商承诺，按照本合同约定支付服务款项。</w:t>
      </w:r>
    </w:p>
    <w:p w14:paraId="3F13FC3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七、内容及要求：</w:t>
      </w:r>
    </w:p>
    <w:p w14:paraId="62F3E9CF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即交付的产品、服务内容、数量与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文件等所指明的，或者与本合同所指明的产品、服务内容相一致。</w:t>
      </w:r>
    </w:p>
    <w:p w14:paraId="401926D7">
      <w:pPr>
        <w:spacing w:after="120" w:afterLines="0"/>
        <w:jc w:val="center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供货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内容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一览表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5"/>
        <w:gridCol w:w="960"/>
        <w:gridCol w:w="1485"/>
        <w:gridCol w:w="1695"/>
        <w:gridCol w:w="825"/>
        <w:gridCol w:w="735"/>
        <w:gridCol w:w="1050"/>
        <w:gridCol w:w="1215"/>
        <w:gridCol w:w="903"/>
      </w:tblGrid>
      <w:tr w14:paraId="1FD7A2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  <w:noWrap w:val="0"/>
            <w:vAlign w:val="center"/>
          </w:tcPr>
          <w:p w14:paraId="40B930EB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</w:rPr>
              <w:t>序号</w:t>
            </w:r>
          </w:p>
        </w:tc>
        <w:tc>
          <w:tcPr>
            <w:tcW w:w="960" w:type="dxa"/>
            <w:noWrap w:val="0"/>
            <w:vAlign w:val="center"/>
          </w:tcPr>
          <w:p w14:paraId="17F7D935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</w:rPr>
              <w:t>名称</w:t>
            </w: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 w14:paraId="6F54C9B5">
            <w:pPr>
              <w:keepNext/>
              <w:keepLines/>
              <w:widowControl/>
              <w:adjustRightInd w:val="0"/>
              <w:snapToGrid w:val="0"/>
              <w:spacing w:before="260" w:beforeLines="0" w:after="260" w:afterLines="0"/>
              <w:ind w:left="0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bookmarkStart w:id="0" w:name="_Toc27392"/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品牌、规格及型号</w:t>
            </w:r>
            <w:bookmarkEnd w:id="0"/>
          </w:p>
        </w:tc>
        <w:tc>
          <w:tcPr>
            <w:tcW w:w="1695" w:type="dxa"/>
            <w:tcBorders>
              <w:left w:val="single" w:color="auto" w:sz="4" w:space="0"/>
            </w:tcBorders>
            <w:noWrap w:val="0"/>
            <w:vAlign w:val="center"/>
          </w:tcPr>
          <w:p w14:paraId="7F487448">
            <w:pPr>
              <w:keepNext/>
              <w:keepLines/>
              <w:widowControl/>
              <w:adjustRightInd w:val="0"/>
              <w:snapToGrid w:val="0"/>
              <w:spacing w:before="260" w:beforeLines="0" w:after="260" w:afterLines="0"/>
              <w:ind w:left="0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bookmarkStart w:id="1" w:name="_Toc8981"/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原产地及制造厂名</w:t>
            </w:r>
            <w:bookmarkEnd w:id="1"/>
          </w:p>
        </w:tc>
        <w:tc>
          <w:tcPr>
            <w:tcW w:w="825" w:type="dxa"/>
            <w:tcBorders>
              <w:right w:val="single" w:color="auto" w:sz="4" w:space="0"/>
            </w:tcBorders>
            <w:noWrap w:val="0"/>
            <w:vAlign w:val="center"/>
          </w:tcPr>
          <w:p w14:paraId="3A437C30">
            <w:pPr>
              <w:keepNext/>
              <w:keepLines/>
              <w:widowControl/>
              <w:adjustRightInd w:val="0"/>
              <w:snapToGrid w:val="0"/>
              <w:spacing w:before="260" w:beforeLines="0" w:after="260" w:afterLines="0"/>
              <w:ind w:left="0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bookmarkStart w:id="2" w:name="_Toc14127"/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单价</w:t>
            </w:r>
            <w:bookmarkEnd w:id="2"/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B8E1D">
            <w:pPr>
              <w:keepNext/>
              <w:keepLines/>
              <w:widowControl/>
              <w:adjustRightInd w:val="0"/>
              <w:snapToGrid w:val="0"/>
              <w:spacing w:before="260" w:beforeLines="0" w:after="260" w:afterLines="0"/>
              <w:ind w:left="0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bookmarkStart w:id="3" w:name="_Toc31109"/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数量</w:t>
            </w:r>
            <w:bookmarkEnd w:id="3"/>
          </w:p>
        </w:tc>
        <w:tc>
          <w:tcPr>
            <w:tcW w:w="1050" w:type="dxa"/>
            <w:tcBorders>
              <w:left w:val="single" w:color="auto" w:sz="4" w:space="0"/>
            </w:tcBorders>
            <w:noWrap w:val="0"/>
            <w:vAlign w:val="center"/>
          </w:tcPr>
          <w:p w14:paraId="4FCDBD74">
            <w:pPr>
              <w:keepNext/>
              <w:keepLines/>
              <w:widowControl/>
              <w:spacing w:before="260" w:beforeLines="0" w:after="260" w:afterLines="0"/>
              <w:ind w:left="0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bookmarkStart w:id="4" w:name="_Toc23428"/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交付地点</w:t>
            </w:r>
            <w:bookmarkEnd w:id="4"/>
          </w:p>
        </w:tc>
        <w:tc>
          <w:tcPr>
            <w:tcW w:w="1215" w:type="dxa"/>
            <w:tcBorders>
              <w:right w:val="single" w:color="auto" w:sz="4" w:space="0"/>
            </w:tcBorders>
            <w:noWrap w:val="0"/>
            <w:vAlign w:val="center"/>
          </w:tcPr>
          <w:p w14:paraId="75AFEA07">
            <w:pPr>
              <w:keepNext/>
              <w:keepLines/>
              <w:widowControl/>
              <w:spacing w:before="260" w:beforeLines="0" w:after="260" w:afterLines="0"/>
              <w:ind w:left="0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bookmarkStart w:id="5" w:name="_Toc2991"/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交付时间</w:t>
            </w:r>
            <w:bookmarkEnd w:id="5"/>
          </w:p>
        </w:tc>
        <w:tc>
          <w:tcPr>
            <w:tcW w:w="903" w:type="dxa"/>
            <w:tcBorders>
              <w:right w:val="single" w:color="auto" w:sz="4" w:space="0"/>
            </w:tcBorders>
            <w:noWrap w:val="0"/>
            <w:vAlign w:val="center"/>
          </w:tcPr>
          <w:p w14:paraId="59BDEACD">
            <w:pPr>
              <w:keepNext/>
              <w:keepLines/>
              <w:widowControl/>
              <w:spacing w:before="260" w:beforeLines="0" w:after="260" w:afterLines="0"/>
              <w:ind w:left="0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bookmarkStart w:id="6" w:name="_Toc17703"/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备注</w:t>
            </w:r>
            <w:bookmarkEnd w:id="6"/>
          </w:p>
        </w:tc>
      </w:tr>
      <w:tr w14:paraId="141D3B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  <w:noWrap w:val="0"/>
            <w:vAlign w:val="top"/>
          </w:tcPr>
          <w:p w14:paraId="19F71ACA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960" w:type="dxa"/>
            <w:noWrap w:val="0"/>
            <w:vAlign w:val="top"/>
          </w:tcPr>
          <w:p w14:paraId="27500874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top"/>
          </w:tcPr>
          <w:p w14:paraId="7660004E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695" w:type="dxa"/>
            <w:tcBorders>
              <w:left w:val="single" w:color="auto" w:sz="4" w:space="0"/>
            </w:tcBorders>
            <w:noWrap w:val="0"/>
            <w:vAlign w:val="top"/>
          </w:tcPr>
          <w:p w14:paraId="65E53B7D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825" w:type="dxa"/>
            <w:tcBorders>
              <w:right w:val="single" w:color="auto" w:sz="4" w:space="0"/>
            </w:tcBorders>
            <w:noWrap w:val="0"/>
            <w:vAlign w:val="top"/>
          </w:tcPr>
          <w:p w14:paraId="26C3D770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EFEC081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050" w:type="dxa"/>
            <w:tcBorders>
              <w:left w:val="single" w:color="auto" w:sz="4" w:space="0"/>
            </w:tcBorders>
            <w:noWrap w:val="0"/>
            <w:vAlign w:val="top"/>
          </w:tcPr>
          <w:p w14:paraId="09DB96F8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right w:val="single" w:color="auto" w:sz="4" w:space="0"/>
            </w:tcBorders>
            <w:noWrap w:val="0"/>
            <w:vAlign w:val="top"/>
          </w:tcPr>
          <w:p w14:paraId="65EE8AEC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903" w:type="dxa"/>
            <w:tcBorders>
              <w:right w:val="single" w:color="auto" w:sz="4" w:space="0"/>
            </w:tcBorders>
            <w:noWrap w:val="0"/>
            <w:vAlign w:val="top"/>
          </w:tcPr>
          <w:p w14:paraId="1CB726BB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</w:tr>
      <w:tr w14:paraId="00643E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  <w:noWrap w:val="0"/>
            <w:vAlign w:val="top"/>
          </w:tcPr>
          <w:p w14:paraId="16E55F2A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960" w:type="dxa"/>
            <w:noWrap w:val="0"/>
            <w:vAlign w:val="top"/>
          </w:tcPr>
          <w:p w14:paraId="591A3013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top"/>
          </w:tcPr>
          <w:p w14:paraId="3E9EF4CF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695" w:type="dxa"/>
            <w:tcBorders>
              <w:left w:val="single" w:color="auto" w:sz="4" w:space="0"/>
            </w:tcBorders>
            <w:noWrap w:val="0"/>
            <w:vAlign w:val="top"/>
          </w:tcPr>
          <w:p w14:paraId="5F95404A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825" w:type="dxa"/>
            <w:tcBorders>
              <w:right w:val="single" w:color="auto" w:sz="4" w:space="0"/>
            </w:tcBorders>
            <w:noWrap w:val="0"/>
            <w:vAlign w:val="top"/>
          </w:tcPr>
          <w:p w14:paraId="2163449E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D2D12C6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050" w:type="dxa"/>
            <w:tcBorders>
              <w:left w:val="single" w:color="auto" w:sz="4" w:space="0"/>
            </w:tcBorders>
            <w:noWrap w:val="0"/>
            <w:vAlign w:val="top"/>
          </w:tcPr>
          <w:p w14:paraId="050C9DC7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right w:val="single" w:color="auto" w:sz="4" w:space="0"/>
            </w:tcBorders>
            <w:noWrap w:val="0"/>
            <w:vAlign w:val="top"/>
          </w:tcPr>
          <w:p w14:paraId="1D4F740A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903" w:type="dxa"/>
            <w:tcBorders>
              <w:right w:val="single" w:color="auto" w:sz="4" w:space="0"/>
            </w:tcBorders>
            <w:noWrap w:val="0"/>
            <w:vAlign w:val="top"/>
          </w:tcPr>
          <w:p w14:paraId="02E4FCC2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</w:tr>
      <w:tr w14:paraId="0B4877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  <w:noWrap w:val="0"/>
            <w:vAlign w:val="top"/>
          </w:tcPr>
          <w:p w14:paraId="2D6B1802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960" w:type="dxa"/>
            <w:noWrap w:val="0"/>
            <w:vAlign w:val="top"/>
          </w:tcPr>
          <w:p w14:paraId="798BB8B7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top"/>
          </w:tcPr>
          <w:p w14:paraId="6552E2E6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695" w:type="dxa"/>
            <w:tcBorders>
              <w:left w:val="single" w:color="auto" w:sz="4" w:space="0"/>
            </w:tcBorders>
            <w:noWrap w:val="0"/>
            <w:vAlign w:val="top"/>
          </w:tcPr>
          <w:p w14:paraId="43FB2125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825" w:type="dxa"/>
            <w:tcBorders>
              <w:right w:val="single" w:color="auto" w:sz="4" w:space="0"/>
            </w:tcBorders>
            <w:noWrap w:val="0"/>
            <w:vAlign w:val="top"/>
          </w:tcPr>
          <w:p w14:paraId="09488EE8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B23433C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050" w:type="dxa"/>
            <w:tcBorders>
              <w:left w:val="single" w:color="auto" w:sz="4" w:space="0"/>
            </w:tcBorders>
            <w:noWrap w:val="0"/>
            <w:vAlign w:val="top"/>
          </w:tcPr>
          <w:p w14:paraId="6F7C0067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right w:val="single" w:color="auto" w:sz="4" w:space="0"/>
            </w:tcBorders>
            <w:noWrap w:val="0"/>
            <w:vAlign w:val="top"/>
          </w:tcPr>
          <w:p w14:paraId="7C21029A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903" w:type="dxa"/>
            <w:tcBorders>
              <w:right w:val="single" w:color="auto" w:sz="4" w:space="0"/>
            </w:tcBorders>
            <w:noWrap w:val="0"/>
            <w:vAlign w:val="top"/>
          </w:tcPr>
          <w:p w14:paraId="0B1FF545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</w:tr>
      <w:tr w14:paraId="3364BA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  <w:noWrap w:val="0"/>
            <w:vAlign w:val="top"/>
          </w:tcPr>
          <w:p w14:paraId="771A52C2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960" w:type="dxa"/>
            <w:noWrap w:val="0"/>
            <w:vAlign w:val="top"/>
          </w:tcPr>
          <w:p w14:paraId="4F3F65CA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top"/>
          </w:tcPr>
          <w:p w14:paraId="0BB1F23F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695" w:type="dxa"/>
            <w:tcBorders>
              <w:left w:val="single" w:color="auto" w:sz="4" w:space="0"/>
            </w:tcBorders>
            <w:noWrap w:val="0"/>
            <w:vAlign w:val="top"/>
          </w:tcPr>
          <w:p w14:paraId="50FCF52E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825" w:type="dxa"/>
            <w:tcBorders>
              <w:right w:val="single" w:color="auto" w:sz="4" w:space="0"/>
            </w:tcBorders>
            <w:noWrap w:val="0"/>
            <w:vAlign w:val="top"/>
          </w:tcPr>
          <w:p w14:paraId="1D2BD032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9076650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050" w:type="dxa"/>
            <w:tcBorders>
              <w:left w:val="single" w:color="auto" w:sz="4" w:space="0"/>
            </w:tcBorders>
            <w:noWrap w:val="0"/>
            <w:vAlign w:val="top"/>
          </w:tcPr>
          <w:p w14:paraId="1A2D8BA9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1215" w:type="dxa"/>
            <w:tcBorders>
              <w:right w:val="single" w:color="auto" w:sz="4" w:space="0"/>
            </w:tcBorders>
            <w:noWrap w:val="0"/>
            <w:vAlign w:val="top"/>
          </w:tcPr>
          <w:p w14:paraId="56BA6A68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  <w:tc>
          <w:tcPr>
            <w:tcW w:w="903" w:type="dxa"/>
            <w:tcBorders>
              <w:right w:val="single" w:color="auto" w:sz="4" w:space="0"/>
            </w:tcBorders>
            <w:noWrap w:val="0"/>
            <w:vAlign w:val="top"/>
          </w:tcPr>
          <w:p w14:paraId="6F844562">
            <w:pPr>
              <w:spacing w:before="163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</w:p>
        </w:tc>
      </w:tr>
    </w:tbl>
    <w:p w14:paraId="7CABB97C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36" w:lineRule="auto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八、包装要求</w:t>
      </w:r>
    </w:p>
    <w:p w14:paraId="479B238C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336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1、除合同另有规定外，供应商提供的全部货物，均应按标准保护措施进行包装，并确保货物安全无损运至采购人指定地点。由于包装不良造成的损失和由此产生的费用均由供应商承担。</w:t>
      </w:r>
    </w:p>
    <w:p w14:paraId="2B276D28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336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4"/>
        </w:rPr>
        <w:t>2、每一个包装箱内应附一份详细装箱单和质量合格证。</w:t>
      </w:r>
    </w:p>
    <w:p w14:paraId="4FA707A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36" w:lineRule="auto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九、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运输要求：</w:t>
      </w:r>
    </w:p>
    <w:p w14:paraId="0FDF76CA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336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2"/>
        </w:rPr>
      </w:pPr>
      <w:r>
        <w:rPr>
          <w:rFonts w:hint="eastAsia" w:ascii="仿宋" w:hAnsi="仿宋" w:eastAsia="仿宋" w:cs="仿宋"/>
          <w:color w:val="auto"/>
          <w:sz w:val="24"/>
          <w:szCs w:val="22"/>
        </w:rPr>
        <w:t>供应商根据产品特性，自行选择运输及包装方式，承担一切运输费用，包括从生产厂到采购人指定交货地点所需的装卸、运输（含保险费）及其他一切费用。</w:t>
      </w:r>
    </w:p>
    <w:p w14:paraId="6BDA07A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十、验收:</w:t>
      </w:r>
    </w:p>
    <w:p w14:paraId="7DDC858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由采购人和供应商共同对项目进行验收。其内容包括确认产品的规格、型号和数量，对其产品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设计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、性能参数、样式、颜色，以及质量是否达到现行国家有关验收规范“合格”标准、是否按照采购人要求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定制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、是否在规定时间内安装完毕、所有产品的配套包装是否完好无损等进行逐项检查。</w:t>
      </w:r>
    </w:p>
    <w:p w14:paraId="44F17B0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所验产品的指标、性能参数通过验收达不到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文件要求和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文件承诺的，或在使用中发现设计缺陷等，将视为产品验收不合格，供应商应无条件免费更换或退货。</w:t>
      </w:r>
    </w:p>
    <w:p w14:paraId="5A11AAB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若发现供应商有弄虚作假的，在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阶段故意或随意夸大产品技术性能，供应商应无条件退货，并赔偿采购人相应的损失。</w:t>
      </w:r>
    </w:p>
    <w:p w14:paraId="6928357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验收标准：按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文件及澄清函等技术指标进行验收。各项指标均应符合验收标准及要求。</w:t>
      </w:r>
    </w:p>
    <w:p w14:paraId="652D24F9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验收合格后，填写验收单，双方签字盖章后生效。</w:t>
      </w:r>
    </w:p>
    <w:p w14:paraId="150A330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验收依据：</w:t>
      </w:r>
    </w:p>
    <w:p w14:paraId="7DF35ACF">
      <w:pPr>
        <w:keepNext w:val="0"/>
        <w:keepLines w:val="0"/>
        <w:pageBreakBefore w:val="0"/>
        <w:widowControl w:val="0"/>
        <w:tabs>
          <w:tab w:val="left" w:pos="498"/>
        </w:tabs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1）合同文本；</w:t>
      </w:r>
    </w:p>
    <w:p w14:paraId="024D330D">
      <w:pPr>
        <w:keepNext w:val="0"/>
        <w:keepLines w:val="0"/>
        <w:pageBreakBefore w:val="0"/>
        <w:widowControl w:val="0"/>
        <w:tabs>
          <w:tab w:val="left" w:pos="498"/>
        </w:tabs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2）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文件及澄清函、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文件；</w:t>
      </w:r>
    </w:p>
    <w:p w14:paraId="7DE17015">
      <w:pPr>
        <w:keepNext w:val="0"/>
        <w:keepLines w:val="0"/>
        <w:pageBreakBefore w:val="0"/>
        <w:widowControl w:val="0"/>
        <w:tabs>
          <w:tab w:val="left" w:pos="498"/>
        </w:tabs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3）国家和行业制定的相应的标准和规范；</w:t>
      </w:r>
    </w:p>
    <w:p w14:paraId="05E8F373">
      <w:pPr>
        <w:keepNext w:val="0"/>
        <w:keepLines w:val="0"/>
        <w:pageBreakBefore w:val="0"/>
        <w:widowControl w:val="0"/>
        <w:tabs>
          <w:tab w:val="left" w:pos="498"/>
        </w:tabs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4)产品验收清单（注明各部件的品名、数量、规格型号）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59E8DF6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2" w:firstLineChars="200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十、知识产权</w:t>
      </w:r>
    </w:p>
    <w:p w14:paraId="15C115D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。</w:t>
      </w:r>
    </w:p>
    <w:p w14:paraId="108D935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2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十二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、合同争议的解决：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合同执行中发生争议的，当事人双方应协商解决，协商达不成一致时，向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采购人住所地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人民法院提请诉讼。</w:t>
      </w:r>
    </w:p>
    <w:p w14:paraId="71AAD6F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2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十三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不可抗力情况下的免责约定，双方约定不可抗力情况包括：五级以上地震、大风、大雨、大雪。  </w:t>
      </w:r>
    </w:p>
    <w:p w14:paraId="75683682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2" w:firstLineChars="200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十四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、违约责任：</w:t>
      </w:r>
    </w:p>
    <w:p w14:paraId="6916137D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依据《中华人民共和国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民法典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》、《中华人民共和国政府采购法》的相关条款和本合同约定，供应商未全面履行合同义务或者发生违约，采购单位会同采购代理机构有权终止合同，依法向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中标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供应商进行经济索赔，并报请政府采购监督管理机关进行相应的行政处罚。采购单位违约的，应当赔偿给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中标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供应商造成的经济损失。</w:t>
      </w:r>
    </w:p>
    <w:p w14:paraId="6C8F8A9C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2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十五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、其他（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在合同中具体明确）</w:t>
      </w:r>
    </w:p>
    <w:p w14:paraId="5671BC5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360" w:lineRule="auto"/>
        <w:ind w:left="0" w:firstLine="482" w:firstLineChars="200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  <w:lang w:val="en-US" w:eastAsia="zh-CN"/>
        </w:rPr>
        <w:t>十六</w:t>
      </w:r>
      <w:r>
        <w:rPr>
          <w:rFonts w:hint="eastAsia" w:ascii="仿宋" w:hAnsi="仿宋" w:eastAsia="仿宋" w:cs="仿宋"/>
          <w:b/>
          <w:color w:val="auto"/>
          <w:sz w:val="24"/>
        </w:rPr>
        <w:t>、合同订立</w:t>
      </w:r>
    </w:p>
    <w:p w14:paraId="397D9F89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1. 订立时间：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</w:rPr>
        <w:t>年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</w:rPr>
        <w:t>日。</w:t>
      </w:r>
    </w:p>
    <w:p w14:paraId="161CF0E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2. 订立地点：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0AFEA5C3">
      <w:pPr>
        <w:keepNext w:val="0"/>
        <w:keepLines w:val="0"/>
        <w:pageBreakBefore w:val="0"/>
        <w:widowControl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3.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本合同一式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份，其中，合同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正本一式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份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副本一式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份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，具有同等法律效力，正副本不一致，以正本为准。采供双方各执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，监管部门备案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、采购代理机构存档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。各方签字盖章后生效，合同执行完毕自动失效。（合同的服务承诺则长期有效）。</w:t>
      </w:r>
    </w:p>
    <w:p w14:paraId="16D6E404">
      <w:pPr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</w:rPr>
      </w:pPr>
    </w:p>
    <w:p w14:paraId="26E00FC0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采购人：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（盖章）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</w:rPr>
        <w:t xml:space="preserve">       供应商：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（盖章） 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</w:t>
      </w:r>
    </w:p>
    <w:p w14:paraId="4FF0D3A1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 xml:space="preserve">地址：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Cs w:val="24"/>
        </w:rPr>
        <w:t xml:space="preserve">       地址：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     </w:t>
      </w:r>
    </w:p>
    <w:p w14:paraId="082E41CA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邮政编码：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Cs w:val="24"/>
        </w:rPr>
        <w:t xml:space="preserve">        邮政编码：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 </w:t>
      </w:r>
    </w:p>
    <w:p w14:paraId="3A56DBEE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Cs w:val="24"/>
        </w:rPr>
        <w:t xml:space="preserve">或其授权     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Cs w:val="24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Cs w:val="24"/>
        </w:rPr>
        <w:t>或其授权</w:t>
      </w:r>
    </w:p>
    <w:p w14:paraId="4123ADB9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的代理人：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（签字）     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Cs w:val="24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的代理人：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（签字）          </w:t>
      </w:r>
    </w:p>
    <w:p w14:paraId="4D3296A4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开户银行：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Cs w:val="24"/>
        </w:rPr>
        <w:t xml:space="preserve">        开户银行：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 </w:t>
      </w:r>
    </w:p>
    <w:p w14:paraId="0C230A60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账号：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Cs w:val="24"/>
        </w:rPr>
        <w:t xml:space="preserve">       账号：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      </w:t>
      </w:r>
    </w:p>
    <w:p w14:paraId="5A36B69A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电话：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Cs w:val="24"/>
        </w:rPr>
        <w:t xml:space="preserve">       电话：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      </w:t>
      </w:r>
    </w:p>
    <w:p w14:paraId="5C3F85A3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传真：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Cs w:val="24"/>
        </w:rPr>
        <w:t xml:space="preserve">       传真：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      </w:t>
      </w:r>
    </w:p>
    <w:p w14:paraId="74EB5D4D">
      <w:pPr>
        <w:adjustRightInd w:val="0"/>
        <w:snapToGrid w:val="0"/>
        <w:spacing w:line="360" w:lineRule="auto"/>
        <w:ind w:firstLine="415" w:firstLineChars="198"/>
        <w:rPr>
          <w:rFonts w:hint="eastAsia" w:ascii="Calibri" w:hAnsi="Calibri" w:eastAsia="仿宋" w:cs="Times New Roman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</w:rPr>
        <w:t>电子邮箱：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Cs w:val="24"/>
        </w:rPr>
        <w:t xml:space="preserve">        电子邮箱：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</w:t>
      </w:r>
    </w:p>
    <w:p w14:paraId="52D5C47F">
      <w:pPr>
        <w:rPr>
          <w:rFonts w:ascii="Calibri" w:hAnsi="Calibri" w:eastAsia="宋体" w:cs="Times New Roman"/>
        </w:rPr>
      </w:pPr>
    </w:p>
    <w:p w14:paraId="62E71D5B">
      <w:pPr>
        <w:rPr>
          <w:rFonts w:hint="eastAsia" w:ascii="Calibri" w:hAnsi="Calibri" w:eastAsia="宋体" w:cs="Times New Roman"/>
          <w:lang w:val="en-US" w:eastAsia="zh-Hans"/>
        </w:rPr>
      </w:pPr>
    </w:p>
    <w:p w14:paraId="1B250D62"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86BF5"/>
    <w:rsid w:val="2438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2026-05-19T05:05:00Z</dcterms:created>
  <dc:creator>马健</dc:creator>
  <cp:lastModifiedBy>马健</cp:lastModifiedBy>
  <dcterms:modified xsi:type="dcterms:W3CDTF">2026-05-19T05:05:50Z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87C6B879FA084634B1630A4F805C6622_11</vt:lpwstr>
  </property>
  <property fmtid="{D5CDD505-2E9C-101B-9397-08002B2CF9AE}" pid="4" name="KSOTemplateDocerSaveRecord">
    <vt:lpwstr>eyJoZGlkIjoiNTJmM2MzMjg4NDdmYmRlMjhjZDc5ZDcwOWNjN2MzYTMiLCJ1c2VySWQiOiI0MjUzNjA0MDEifQ==</vt:lpwstr>
  </property>
</Properties>
</file>